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BC1" w:rsidRDefault="003E0BC1" w:rsidP="003E0BC1">
      <w:pPr>
        <w:tabs>
          <w:tab w:val="left" w:pos="7095"/>
        </w:tabs>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NỘI DUNG BÁO PHÍ BẢO HIỂM MỜI BÁO GIÁ</w:t>
      </w:r>
    </w:p>
    <w:p w:rsidR="003E0BC1" w:rsidRDefault="003E0BC1" w:rsidP="003E0BC1">
      <w:pPr>
        <w:tabs>
          <w:tab w:val="left" w:pos="7095"/>
        </w:tabs>
        <w:spacing w:after="0" w:line="240" w:lineRule="auto"/>
        <w:jc w:val="center"/>
        <w:rPr>
          <w:rFonts w:ascii="Times New Roman" w:hAnsi="Times New Roman" w:cs="Times New Roman"/>
          <w:bCs/>
          <w:i/>
          <w:sz w:val="28"/>
          <w:szCs w:val="28"/>
        </w:rPr>
      </w:pPr>
      <w:r>
        <w:rPr>
          <w:rFonts w:ascii="Times New Roman" w:hAnsi="Times New Roman" w:cs="Times New Roman"/>
          <w:bCs/>
          <w:i/>
          <w:sz w:val="28"/>
          <w:szCs w:val="28"/>
        </w:rPr>
        <w:t>(Kèm theo Thông báo số  156/TB-TTYT ngày 19/02/2024</w:t>
      </w:r>
    </w:p>
    <w:p w:rsidR="003E0BC1" w:rsidRDefault="003E0BC1" w:rsidP="003E0BC1">
      <w:pPr>
        <w:tabs>
          <w:tab w:val="left" w:pos="7095"/>
        </w:tabs>
        <w:spacing w:after="0" w:line="240" w:lineRule="auto"/>
        <w:jc w:val="center"/>
        <w:rPr>
          <w:rFonts w:ascii="Times New Roman" w:hAnsi="Times New Roman" w:cs="Times New Roman"/>
          <w:bCs/>
          <w:i/>
          <w:sz w:val="28"/>
          <w:szCs w:val="28"/>
        </w:rPr>
      </w:pPr>
      <w:r>
        <w:rPr>
          <w:rFonts w:ascii="Times New Roman" w:hAnsi="Times New Roman" w:cs="Times New Roman"/>
          <w:bCs/>
          <w:i/>
          <w:noProof/>
          <w:sz w:val="28"/>
          <w:szCs w:val="28"/>
        </w:rPr>
        <mc:AlternateContent>
          <mc:Choice Requires="wps">
            <w:drawing>
              <wp:anchor distT="0" distB="0" distL="114300" distR="114300" simplePos="0" relativeHeight="251659264" behindDoc="0" locked="0" layoutInCell="1" allowOverlap="1" wp14:anchorId="55196E87" wp14:editId="4BB2178B">
                <wp:simplePos x="0" y="0"/>
                <wp:positionH relativeFrom="column">
                  <wp:posOffset>2101977</wp:posOffset>
                </wp:positionH>
                <wp:positionV relativeFrom="paragraph">
                  <wp:posOffset>206577</wp:posOffset>
                </wp:positionV>
                <wp:extent cx="1799539" cy="14631"/>
                <wp:effectExtent l="0" t="0" r="29845" b="23495"/>
                <wp:wrapNone/>
                <wp:docPr id="8" name="Straight Connector 8"/>
                <wp:cNvGraphicFramePr/>
                <a:graphic xmlns:a="http://schemas.openxmlformats.org/drawingml/2006/main">
                  <a:graphicData uri="http://schemas.microsoft.com/office/word/2010/wordprocessingShape">
                    <wps:wsp>
                      <wps:cNvCnPr/>
                      <wps:spPr>
                        <a:xfrm>
                          <a:off x="0" y="0"/>
                          <a:ext cx="1799539" cy="146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D056E"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16.25pt" to="307.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" strokecolor="#5b9bd5 [3204]" strokeweight=".5pt">
                <v:stroke joinstyle="miter"/>
              </v:line>
            </w:pict>
          </mc:Fallback>
        </mc:AlternateContent>
      </w:r>
      <w:r>
        <w:rPr>
          <w:rFonts w:ascii="Times New Roman" w:hAnsi="Times New Roman" w:cs="Times New Roman"/>
          <w:bCs/>
          <w:i/>
          <w:sz w:val="28"/>
          <w:szCs w:val="28"/>
        </w:rPr>
        <w:t xml:space="preserve"> của TTTYT TX. Sông Cầu)</w:t>
      </w:r>
    </w:p>
    <w:p w:rsidR="003E0BC1" w:rsidRPr="00C8188F" w:rsidRDefault="003E0BC1" w:rsidP="003E0BC1">
      <w:pPr>
        <w:tabs>
          <w:tab w:val="left" w:pos="7095"/>
        </w:tabs>
        <w:spacing w:before="120" w:after="120" w:line="240" w:lineRule="auto"/>
        <w:ind w:firstLine="567"/>
        <w:jc w:val="center"/>
        <w:rPr>
          <w:rFonts w:ascii="Times New Roman" w:hAnsi="Times New Roman" w:cs="Times New Roman"/>
          <w:bCs/>
          <w:i/>
          <w:sz w:val="28"/>
          <w:szCs w:val="28"/>
        </w:rPr>
      </w:pPr>
    </w:p>
    <w:p w:rsidR="003E0BC1" w:rsidRPr="00331FB6" w:rsidRDefault="003E0BC1" w:rsidP="003E0BC1">
      <w:pPr>
        <w:tabs>
          <w:tab w:val="left" w:pos="7095"/>
        </w:tabs>
        <w:spacing w:before="120" w:after="120" w:line="240" w:lineRule="auto"/>
        <w:ind w:firstLine="567"/>
        <w:jc w:val="center"/>
        <w:rPr>
          <w:rFonts w:ascii="Times New Roman" w:hAnsi="Times New Roman" w:cs="Times New Roman"/>
          <w:b/>
          <w:bCs/>
          <w:sz w:val="28"/>
          <w:szCs w:val="28"/>
        </w:rPr>
      </w:pPr>
    </w:p>
    <w:p w:rsidR="003E0BC1" w:rsidRPr="00ED0009" w:rsidRDefault="003E0BC1" w:rsidP="003E0BC1">
      <w:pPr>
        <w:spacing w:before="120" w:after="120"/>
        <w:ind w:left="1" w:firstLine="566"/>
        <w:rPr>
          <w:rFonts w:ascii="Times New Roman" w:hAnsi="Times New Roman" w:cs="Times New Roman"/>
          <w:b/>
          <w:sz w:val="26"/>
          <w:szCs w:val="26"/>
          <w:lang w:val="en-GB"/>
        </w:rPr>
      </w:pPr>
      <w:r w:rsidRPr="00ED0009">
        <w:rPr>
          <w:rFonts w:ascii="Times New Roman" w:hAnsi="Times New Roman" w:cs="Times New Roman"/>
          <w:b/>
          <w:sz w:val="26"/>
          <w:szCs w:val="26"/>
          <w:lang w:val="en-GB"/>
        </w:rPr>
        <w:t>I. Người được bả</w:t>
      </w:r>
      <w:r w:rsidR="003B65C3">
        <w:rPr>
          <w:rFonts w:ascii="Times New Roman" w:hAnsi="Times New Roman" w:cs="Times New Roman"/>
          <w:b/>
          <w:sz w:val="26"/>
          <w:szCs w:val="26"/>
          <w:lang w:val="en-GB"/>
        </w:rPr>
        <w:t>o hiểm</w:t>
      </w:r>
      <w:bookmarkStart w:id="0" w:name="_GoBack"/>
      <w:bookmarkEnd w:id="0"/>
      <w:r w:rsidRPr="00ED0009">
        <w:rPr>
          <w:rFonts w:ascii="Times New Roman" w:hAnsi="Times New Roman" w:cs="Times New Roman"/>
          <w:b/>
          <w:sz w:val="26"/>
          <w:szCs w:val="26"/>
          <w:lang w:val="en-GB"/>
        </w:rPr>
        <w:t>: Trung tâm Y tế thị xã Sông Cầu</w:t>
      </w:r>
    </w:p>
    <w:p w:rsidR="003E0BC1" w:rsidRDefault="003E0BC1" w:rsidP="003E0BC1">
      <w:pPr>
        <w:spacing w:before="120" w:after="120" w:line="240" w:lineRule="auto"/>
        <w:ind w:left="1" w:firstLine="567"/>
        <w:jc w:val="both"/>
        <w:rPr>
          <w:rFonts w:ascii="Times New Roman" w:hAnsi="Times New Roman" w:cs="Times New Roman"/>
          <w:sz w:val="26"/>
          <w:szCs w:val="26"/>
          <w:lang w:val="en-GB"/>
        </w:rPr>
      </w:pPr>
      <w:r>
        <w:rPr>
          <w:rFonts w:ascii="Times New Roman" w:hAnsi="Times New Roman" w:cs="Times New Roman"/>
          <w:sz w:val="26"/>
          <w:szCs w:val="26"/>
          <w:lang w:val="en-GB"/>
        </w:rPr>
        <w:t xml:space="preserve">- Địa chỉ: </w:t>
      </w:r>
      <w:r w:rsidRPr="00C8188F">
        <w:rPr>
          <w:rFonts w:ascii="Times New Roman" w:hAnsi="Times New Roman" w:cs="Times New Roman"/>
          <w:sz w:val="26"/>
          <w:szCs w:val="28"/>
          <w:lang w:val="en-GB"/>
        </w:rPr>
        <w:t>02 Phạm Văn Đồng, Xuân Yên, Sông Cầu, Phú Yên.</w:t>
      </w:r>
    </w:p>
    <w:p w:rsidR="003E0BC1" w:rsidRDefault="003E0BC1" w:rsidP="003E0BC1">
      <w:pPr>
        <w:spacing w:before="120" w:after="120" w:line="240" w:lineRule="auto"/>
        <w:ind w:left="3" w:firstLine="567"/>
        <w:jc w:val="both"/>
        <w:rPr>
          <w:rFonts w:ascii="Times New Roman" w:hAnsi="Times New Roman" w:cs="Times New Roman"/>
          <w:sz w:val="26"/>
          <w:szCs w:val="26"/>
          <w:lang w:val="en-GB"/>
        </w:rPr>
      </w:pPr>
      <w:r>
        <w:rPr>
          <w:rFonts w:ascii="Times New Roman" w:hAnsi="Times New Roman" w:cs="Times New Roman"/>
          <w:sz w:val="26"/>
          <w:szCs w:val="26"/>
          <w:lang w:val="en-GB"/>
        </w:rPr>
        <w:t>- Biển số: 78A-006.11, hiệu xe: Toyota; Số máy: 85249202TR; Số khung: JTF JX02PX05031163.</w:t>
      </w:r>
    </w:p>
    <w:p w:rsidR="003E0BC1" w:rsidRDefault="003E0BC1" w:rsidP="003E0BC1">
      <w:pPr>
        <w:spacing w:before="120" w:after="120" w:line="240" w:lineRule="auto"/>
        <w:ind w:left="3" w:firstLine="567"/>
        <w:jc w:val="both"/>
        <w:rPr>
          <w:rFonts w:ascii="Times New Roman" w:hAnsi="Times New Roman" w:cs="Times New Roman"/>
          <w:sz w:val="26"/>
          <w:szCs w:val="26"/>
          <w:lang w:val="en-GB"/>
        </w:rPr>
      </w:pPr>
      <w:r>
        <w:rPr>
          <w:rFonts w:ascii="Times New Roman" w:hAnsi="Times New Roman" w:cs="Times New Roman"/>
          <w:sz w:val="26"/>
          <w:szCs w:val="26"/>
          <w:lang w:val="en-GB"/>
        </w:rPr>
        <w:t>- Số chỗ ngồi: 08 chỗ; Năm sản xuất: 2013; Niên hạn sử dụng: 2033.</w:t>
      </w:r>
    </w:p>
    <w:p w:rsidR="003E0BC1" w:rsidRDefault="003E0BC1" w:rsidP="003E0BC1">
      <w:pPr>
        <w:spacing w:before="120" w:after="120"/>
        <w:ind w:left="1" w:firstLine="567"/>
        <w:rPr>
          <w:rFonts w:ascii="Times New Roman" w:hAnsi="Times New Roman" w:cs="Times New Roman"/>
          <w:b/>
          <w:sz w:val="26"/>
          <w:szCs w:val="26"/>
          <w:lang w:val="en-GB"/>
        </w:rPr>
      </w:pPr>
      <w:r w:rsidRPr="00C32B90">
        <w:rPr>
          <w:rFonts w:ascii="Times New Roman" w:hAnsi="Times New Roman" w:cs="Times New Roman"/>
          <w:b/>
          <w:sz w:val="26"/>
          <w:szCs w:val="26"/>
          <w:lang w:val="en-GB"/>
        </w:rPr>
        <w:t>II. Loại hình bảo hiểm, mức trách nhiệm, số tiền bảo hiểm và phí bảo hiểm:</w:t>
      </w:r>
    </w:p>
    <w:p w:rsidR="003E0BC1" w:rsidRDefault="003E0BC1" w:rsidP="003E0BC1">
      <w:pPr>
        <w:spacing w:before="120" w:after="120"/>
        <w:ind w:left="1" w:firstLine="567"/>
        <w:rPr>
          <w:rFonts w:ascii="Times New Roman" w:hAnsi="Times New Roman" w:cs="Times New Roman"/>
          <w:sz w:val="26"/>
          <w:szCs w:val="26"/>
          <w:lang w:val="en-GB"/>
        </w:rPr>
      </w:pPr>
      <w:r>
        <w:rPr>
          <w:rFonts w:ascii="Times New Roman" w:hAnsi="Times New Roman" w:cs="Times New Roman"/>
          <w:sz w:val="26"/>
          <w:szCs w:val="26"/>
          <w:lang w:val="en-GB"/>
        </w:rPr>
        <w:t>1. Bảo hiểm tai nạn dân sự của chủ xe cơ giới đối với người thứ ba và hành khách trên xe:</w:t>
      </w:r>
    </w:p>
    <w:p w:rsidR="003E0BC1" w:rsidRDefault="003E0BC1" w:rsidP="003E0BC1">
      <w:pPr>
        <w:spacing w:before="120" w:after="120"/>
        <w:ind w:left="1" w:firstLine="567"/>
        <w:rPr>
          <w:rFonts w:ascii="Times New Roman" w:hAnsi="Times New Roman" w:cs="Times New Roman"/>
          <w:sz w:val="26"/>
          <w:szCs w:val="26"/>
          <w:lang w:val="en-GB"/>
        </w:rPr>
      </w:pPr>
      <w:r>
        <w:rPr>
          <w:rFonts w:ascii="Times New Roman" w:hAnsi="Times New Roman" w:cs="Times New Roman"/>
          <w:sz w:val="26"/>
          <w:szCs w:val="26"/>
          <w:lang w:val="en-GB"/>
        </w:rPr>
        <w:t>- Mức trách nhiệm đối với người: ……. VNĐ/người/vụ.</w:t>
      </w:r>
    </w:p>
    <w:p w:rsidR="003E0BC1" w:rsidRDefault="003E0BC1" w:rsidP="003E0BC1">
      <w:pPr>
        <w:spacing w:before="120" w:after="120"/>
        <w:ind w:left="1" w:firstLine="567"/>
        <w:rPr>
          <w:rFonts w:ascii="Times New Roman" w:hAnsi="Times New Roman" w:cs="Times New Roman"/>
          <w:sz w:val="26"/>
          <w:szCs w:val="26"/>
          <w:lang w:val="en-GB"/>
        </w:rPr>
      </w:pPr>
      <w:r>
        <w:rPr>
          <w:rFonts w:ascii="Times New Roman" w:hAnsi="Times New Roman" w:cs="Times New Roman"/>
          <w:sz w:val="26"/>
          <w:szCs w:val="26"/>
          <w:lang w:val="en-GB"/>
        </w:rPr>
        <w:t>- Mức trách nhiệm đối với tài sản: ……… VNĐ/vụ</w:t>
      </w:r>
    </w:p>
    <w:p w:rsidR="003E0BC1" w:rsidRDefault="003E0BC1" w:rsidP="003E0BC1">
      <w:pPr>
        <w:spacing w:before="120" w:after="120"/>
        <w:ind w:left="1" w:firstLine="567"/>
        <w:rPr>
          <w:rFonts w:ascii="Times New Roman" w:hAnsi="Times New Roman" w:cs="Times New Roman"/>
          <w:sz w:val="26"/>
          <w:szCs w:val="26"/>
          <w:lang w:val="en-GB"/>
        </w:rPr>
      </w:pPr>
      <w:r>
        <w:rPr>
          <w:rFonts w:ascii="Times New Roman" w:hAnsi="Times New Roman" w:cs="Times New Roman"/>
          <w:sz w:val="26"/>
          <w:szCs w:val="26"/>
          <w:lang w:val="en-GB"/>
        </w:rPr>
        <w:t>* Phí bảo hiểm mục 1: ……….. VNĐ (Bao gồm VAT)</w:t>
      </w:r>
    </w:p>
    <w:p w:rsidR="003E0BC1" w:rsidRDefault="003E0BC1" w:rsidP="003E0BC1">
      <w:pPr>
        <w:spacing w:before="120" w:after="120"/>
        <w:ind w:left="1" w:firstLine="567"/>
        <w:rPr>
          <w:rFonts w:ascii="Times New Roman" w:hAnsi="Times New Roman" w:cs="Times New Roman"/>
          <w:b/>
          <w:sz w:val="26"/>
          <w:szCs w:val="26"/>
          <w:lang w:val="en-GB"/>
        </w:rPr>
      </w:pPr>
      <w:r>
        <w:rPr>
          <w:rFonts w:ascii="Times New Roman" w:hAnsi="Times New Roman" w:cs="Times New Roman"/>
          <w:b/>
          <w:sz w:val="26"/>
          <w:szCs w:val="26"/>
          <w:lang w:val="en-GB"/>
        </w:rPr>
        <w:t>2. Bảo hiểm tai nạn lái xe và người ngồi trên xe:</w:t>
      </w:r>
    </w:p>
    <w:p w:rsidR="003E0BC1" w:rsidRDefault="003E0BC1" w:rsidP="003E0BC1">
      <w:pPr>
        <w:spacing w:before="120" w:after="120"/>
        <w:ind w:left="1" w:firstLine="567"/>
        <w:rPr>
          <w:rFonts w:ascii="Times New Roman" w:hAnsi="Times New Roman" w:cs="Times New Roman"/>
          <w:sz w:val="26"/>
          <w:szCs w:val="26"/>
          <w:lang w:val="en-GB"/>
        </w:rPr>
      </w:pPr>
      <w:r>
        <w:rPr>
          <w:rFonts w:ascii="Times New Roman" w:hAnsi="Times New Roman" w:cs="Times New Roman"/>
          <w:sz w:val="26"/>
          <w:szCs w:val="26"/>
          <w:lang w:val="en-GB"/>
        </w:rPr>
        <w:t>- Mức trách nhiệm đối với người: ……. VNĐ/người/vụ.</w:t>
      </w:r>
    </w:p>
    <w:p w:rsidR="003E0BC1" w:rsidRDefault="003E0BC1" w:rsidP="003E0BC1">
      <w:pPr>
        <w:spacing w:before="120" w:after="120"/>
        <w:ind w:left="1" w:firstLine="567"/>
        <w:rPr>
          <w:rFonts w:ascii="Times New Roman" w:hAnsi="Times New Roman" w:cs="Times New Roman"/>
          <w:sz w:val="26"/>
          <w:szCs w:val="26"/>
          <w:lang w:val="en-GB"/>
        </w:rPr>
      </w:pPr>
      <w:r>
        <w:rPr>
          <w:rFonts w:ascii="Times New Roman" w:hAnsi="Times New Roman" w:cs="Times New Roman"/>
          <w:sz w:val="26"/>
          <w:szCs w:val="26"/>
          <w:lang w:val="en-GB"/>
        </w:rPr>
        <w:t>* Phí bảo hiểm mục 2: ……….. VNĐ (Bao gồm VAT)</w:t>
      </w:r>
    </w:p>
    <w:p w:rsidR="003E0BC1" w:rsidRDefault="003E0BC1" w:rsidP="003E0BC1">
      <w:pPr>
        <w:spacing w:before="120" w:after="120"/>
        <w:ind w:left="1" w:firstLine="567"/>
        <w:rPr>
          <w:rFonts w:ascii="Times New Roman" w:hAnsi="Times New Roman" w:cs="Times New Roman"/>
          <w:b/>
          <w:sz w:val="26"/>
          <w:szCs w:val="26"/>
          <w:lang w:val="en-GB"/>
        </w:rPr>
      </w:pPr>
      <w:r>
        <w:rPr>
          <w:rFonts w:ascii="Times New Roman" w:hAnsi="Times New Roman" w:cs="Times New Roman"/>
          <w:b/>
          <w:sz w:val="26"/>
          <w:szCs w:val="26"/>
          <w:lang w:val="en-GB"/>
        </w:rPr>
        <w:t>3. Bảo hiểm vật chất xe:</w:t>
      </w:r>
    </w:p>
    <w:p w:rsidR="003E0BC1" w:rsidRDefault="003E0BC1" w:rsidP="003E0BC1">
      <w:pPr>
        <w:spacing w:before="120" w:after="120"/>
        <w:ind w:left="1" w:firstLine="567"/>
        <w:rPr>
          <w:rFonts w:ascii="Times New Roman" w:hAnsi="Times New Roman" w:cs="Times New Roman"/>
          <w:sz w:val="26"/>
          <w:szCs w:val="26"/>
          <w:lang w:val="en-GB"/>
        </w:rPr>
      </w:pPr>
      <w:r>
        <w:rPr>
          <w:rFonts w:ascii="Times New Roman" w:hAnsi="Times New Roman" w:cs="Times New Roman"/>
          <w:sz w:val="26"/>
          <w:szCs w:val="26"/>
          <w:lang w:val="en-GB"/>
        </w:rPr>
        <w:t>- Giá trị thực tế của xe tại thời điểm tham gia bảo hiểm: …….. VNĐ</w:t>
      </w:r>
    </w:p>
    <w:p w:rsidR="003E0BC1" w:rsidRDefault="003E0BC1" w:rsidP="003E0BC1">
      <w:pPr>
        <w:spacing w:before="120" w:after="120"/>
        <w:ind w:left="1" w:firstLine="567"/>
        <w:rPr>
          <w:rFonts w:ascii="Times New Roman" w:hAnsi="Times New Roman" w:cs="Times New Roman"/>
          <w:sz w:val="26"/>
          <w:szCs w:val="26"/>
          <w:lang w:val="en-GB"/>
        </w:rPr>
      </w:pPr>
      <w:r>
        <w:rPr>
          <w:rFonts w:ascii="Times New Roman" w:hAnsi="Times New Roman" w:cs="Times New Roman"/>
          <w:sz w:val="26"/>
          <w:szCs w:val="26"/>
          <w:lang w:val="en-GB"/>
        </w:rPr>
        <w:t>- Số tiền tham gia bảo hiểm xe: …………. VNĐ.</w:t>
      </w:r>
    </w:p>
    <w:p w:rsidR="003E0BC1" w:rsidRDefault="003E0BC1" w:rsidP="003E0BC1">
      <w:pPr>
        <w:spacing w:before="120" w:after="120"/>
        <w:ind w:left="1" w:firstLine="567"/>
        <w:rPr>
          <w:rFonts w:ascii="Times New Roman" w:hAnsi="Times New Roman" w:cs="Times New Roman"/>
          <w:sz w:val="26"/>
          <w:szCs w:val="26"/>
          <w:lang w:val="en-GB"/>
        </w:rPr>
      </w:pPr>
      <w:r>
        <w:rPr>
          <w:rFonts w:ascii="Times New Roman" w:hAnsi="Times New Roman" w:cs="Times New Roman"/>
          <w:sz w:val="26"/>
          <w:szCs w:val="26"/>
          <w:lang w:val="en-GB"/>
        </w:rPr>
        <w:t>- Năm sản xuất: 2013.</w:t>
      </w:r>
    </w:p>
    <w:p w:rsidR="003E0BC1" w:rsidRDefault="003E0BC1" w:rsidP="003E0BC1">
      <w:pPr>
        <w:spacing w:before="120" w:after="120"/>
        <w:ind w:left="1" w:firstLine="567"/>
        <w:rPr>
          <w:rFonts w:ascii="Times New Roman" w:hAnsi="Times New Roman" w:cs="Times New Roman"/>
          <w:sz w:val="26"/>
          <w:szCs w:val="26"/>
          <w:lang w:val="en-GB"/>
        </w:rPr>
      </w:pPr>
      <w:r>
        <w:rPr>
          <w:rFonts w:ascii="Times New Roman" w:hAnsi="Times New Roman" w:cs="Times New Roman"/>
          <w:sz w:val="26"/>
          <w:szCs w:val="26"/>
          <w:lang w:val="en-GB"/>
        </w:rPr>
        <w:t>- Mức miễn thường có khấu trừ: …….. VNĐ/vụ tổn thất.</w:t>
      </w:r>
    </w:p>
    <w:p w:rsidR="003E0BC1" w:rsidRDefault="003E0BC1" w:rsidP="003E0BC1">
      <w:pPr>
        <w:spacing w:before="120" w:after="120"/>
        <w:ind w:left="1" w:firstLine="567"/>
        <w:rPr>
          <w:rFonts w:ascii="Times New Roman" w:hAnsi="Times New Roman" w:cs="Times New Roman"/>
          <w:sz w:val="26"/>
          <w:szCs w:val="26"/>
          <w:lang w:val="en-GB"/>
        </w:rPr>
      </w:pPr>
      <w:r>
        <w:rPr>
          <w:rFonts w:ascii="Times New Roman" w:hAnsi="Times New Roman" w:cs="Times New Roman"/>
          <w:sz w:val="26"/>
          <w:szCs w:val="26"/>
          <w:lang w:val="en-GB"/>
        </w:rPr>
        <w:t>* Phí bảo hiểm mục 3: ……….. VNĐ (Bao gồm VAT)</w:t>
      </w:r>
    </w:p>
    <w:p w:rsidR="003E0BC1" w:rsidRDefault="003E0BC1" w:rsidP="003E0BC1">
      <w:pPr>
        <w:spacing w:before="120" w:after="120"/>
        <w:ind w:left="1" w:firstLine="567"/>
        <w:rPr>
          <w:rFonts w:ascii="Times New Roman" w:hAnsi="Times New Roman" w:cs="Times New Roman"/>
          <w:sz w:val="26"/>
          <w:szCs w:val="26"/>
          <w:lang w:val="en-GB"/>
        </w:rPr>
      </w:pPr>
      <w:r>
        <w:rPr>
          <w:rFonts w:ascii="Times New Roman" w:hAnsi="Times New Roman" w:cs="Times New Roman"/>
          <w:sz w:val="26"/>
          <w:szCs w:val="26"/>
          <w:lang w:val="en-GB"/>
        </w:rPr>
        <w:t>- Đính kèm nội dung điều khoản bảo hiểm mở rộng.</w:t>
      </w:r>
    </w:p>
    <w:p w:rsidR="003E0BC1" w:rsidRDefault="003E0BC1" w:rsidP="003E0BC1">
      <w:pPr>
        <w:spacing w:before="120" w:after="120"/>
        <w:ind w:left="1" w:firstLine="567"/>
        <w:rPr>
          <w:rFonts w:ascii="Times New Roman" w:hAnsi="Times New Roman" w:cs="Times New Roman"/>
          <w:sz w:val="26"/>
          <w:szCs w:val="26"/>
          <w:lang w:val="en-GB"/>
        </w:rPr>
      </w:pPr>
      <w:r>
        <w:rPr>
          <w:rFonts w:ascii="Times New Roman" w:hAnsi="Times New Roman" w:cs="Times New Roman"/>
          <w:sz w:val="26"/>
          <w:szCs w:val="26"/>
          <w:lang w:val="en-GB"/>
        </w:rPr>
        <w:t>- Không khấu hao vật tư thay mới.</w:t>
      </w:r>
    </w:p>
    <w:p w:rsidR="003E0BC1" w:rsidRDefault="003E0BC1" w:rsidP="003E0BC1">
      <w:pPr>
        <w:spacing w:before="120" w:after="120"/>
        <w:ind w:left="1" w:firstLine="567"/>
        <w:rPr>
          <w:rFonts w:ascii="Times New Roman" w:hAnsi="Times New Roman" w:cs="Times New Roman"/>
          <w:b/>
          <w:sz w:val="26"/>
          <w:szCs w:val="26"/>
          <w:lang w:val="en-GB"/>
        </w:rPr>
      </w:pPr>
      <w:r>
        <w:rPr>
          <w:rFonts w:ascii="Times New Roman" w:hAnsi="Times New Roman" w:cs="Times New Roman"/>
          <w:b/>
          <w:sz w:val="26"/>
          <w:szCs w:val="26"/>
          <w:lang w:val="en-GB"/>
        </w:rPr>
        <w:t>4. Tổng phí bảo hiểm:</w:t>
      </w:r>
    </w:p>
    <w:p w:rsidR="003E0BC1" w:rsidRDefault="003E0BC1" w:rsidP="003E0BC1">
      <w:pPr>
        <w:spacing w:before="120" w:after="120"/>
        <w:ind w:left="1" w:firstLine="567"/>
        <w:rPr>
          <w:rFonts w:ascii="Times New Roman" w:hAnsi="Times New Roman" w:cs="Times New Roman"/>
          <w:sz w:val="26"/>
          <w:szCs w:val="26"/>
          <w:lang w:val="en-GB"/>
        </w:rPr>
      </w:pPr>
      <w:r>
        <w:rPr>
          <w:rFonts w:ascii="Times New Roman" w:hAnsi="Times New Roman" w:cs="Times New Roman"/>
          <w:sz w:val="26"/>
          <w:szCs w:val="26"/>
          <w:lang w:val="en-GB"/>
        </w:rPr>
        <w:t>- Giá phí bảo hiểm phải bảo gồm tất cả các loại thuế, phí, lệ phí, chi phí vận chuyển và các chi phí khác để thực hiện gói thầu.</w:t>
      </w:r>
    </w:p>
    <w:p w:rsidR="003E0BC1" w:rsidRDefault="003E0BC1" w:rsidP="003E0BC1">
      <w:pPr>
        <w:spacing w:before="120" w:after="120"/>
        <w:ind w:left="1" w:firstLine="567"/>
        <w:rPr>
          <w:rFonts w:ascii="Times New Roman" w:hAnsi="Times New Roman" w:cs="Times New Roman"/>
          <w:sz w:val="26"/>
          <w:szCs w:val="26"/>
          <w:lang w:val="en-GB"/>
        </w:rPr>
      </w:pPr>
      <w:r>
        <w:rPr>
          <w:rFonts w:ascii="Times New Roman" w:hAnsi="Times New Roman" w:cs="Times New Roman"/>
          <w:sz w:val="26"/>
          <w:szCs w:val="26"/>
          <w:lang w:val="en-GB"/>
        </w:rPr>
        <w:lastRenderedPageBreak/>
        <w:t xml:space="preserve">- Báo giá này có hiệu lực trong vòng: …. Ngày, kể từ ngày  … tháng  … năm  </w:t>
      </w:r>
    </w:p>
    <w:p w:rsidR="003E0BC1" w:rsidRDefault="003E0BC1" w:rsidP="003E0BC1">
      <w:pPr>
        <w:spacing w:before="120" w:after="120"/>
        <w:ind w:left="1" w:firstLine="567"/>
        <w:rPr>
          <w:rFonts w:ascii="Times New Roman" w:hAnsi="Times New Roman" w:cs="Times New Roman"/>
          <w:sz w:val="26"/>
          <w:szCs w:val="26"/>
          <w:lang w:val="en-GB"/>
        </w:rPr>
      </w:pPr>
      <w:r>
        <w:rPr>
          <w:rFonts w:ascii="Times New Roman" w:hAnsi="Times New Roman" w:cs="Times New Roman"/>
          <w:sz w:val="26"/>
          <w:szCs w:val="26"/>
          <w:lang w:val="en-GB"/>
        </w:rPr>
        <w:t>- Chúng tôi cam kết:</w:t>
      </w:r>
    </w:p>
    <w:p w:rsidR="003E0BC1" w:rsidRDefault="003E0BC1" w:rsidP="003E0BC1">
      <w:pPr>
        <w:spacing w:before="120" w:after="120"/>
        <w:ind w:left="1" w:firstLine="567"/>
        <w:rPr>
          <w:rFonts w:ascii="Times New Roman" w:hAnsi="Times New Roman" w:cs="Times New Roman"/>
          <w:sz w:val="26"/>
          <w:szCs w:val="26"/>
          <w:lang w:val="en-GB"/>
        </w:rPr>
      </w:pPr>
      <w:r>
        <w:rPr>
          <w:rFonts w:ascii="Times New Roman" w:hAnsi="Times New Roman" w:cs="Times New Roman"/>
          <w:sz w:val="26"/>
          <w:szCs w:val="26"/>
          <w:lang w:val="en-GB"/>
        </w:rPr>
        <w:t>+ Không đang trong quá trình thực hiện thủ tục giải thể hoặc bị thu hồi Giấy chứng nhận đăng ký doanh nghiệp hoặc giấy chứng nhận đăng ký kinh doanh hoặc các tài liệu tương đương khác; không thuộc trường hợp mất khả năng thanh toán theo quy định của pháp luật về doanh nghiệp.</w:t>
      </w:r>
    </w:p>
    <w:p w:rsidR="003E0BC1" w:rsidRDefault="003E0BC1" w:rsidP="003E0BC1">
      <w:pPr>
        <w:spacing w:before="120" w:after="120"/>
        <w:ind w:left="1" w:firstLine="567"/>
        <w:rPr>
          <w:rFonts w:ascii="Times New Roman" w:hAnsi="Times New Roman" w:cs="Times New Roman"/>
          <w:sz w:val="26"/>
          <w:szCs w:val="26"/>
          <w:lang w:val="en-GB"/>
        </w:rPr>
      </w:pPr>
      <w:r>
        <w:rPr>
          <w:rFonts w:ascii="Times New Roman" w:hAnsi="Times New Roman" w:cs="Times New Roman"/>
          <w:sz w:val="26"/>
          <w:szCs w:val="26"/>
          <w:lang w:val="en-GB"/>
        </w:rPr>
        <w:t>+ Giá trị gói dịch vụ cung cấp nêu trong báo giá là phù hợp, không vi phạm quy định của pháp luật về canh tranh, bán phá giá.</w:t>
      </w:r>
    </w:p>
    <w:p w:rsidR="003E0BC1" w:rsidRDefault="003E0BC1" w:rsidP="003E0BC1">
      <w:pPr>
        <w:spacing w:before="120" w:after="120"/>
        <w:ind w:firstLine="567"/>
        <w:rPr>
          <w:rFonts w:ascii="Times New Roman" w:hAnsi="Times New Roman" w:cs="Times New Roman"/>
          <w:sz w:val="26"/>
          <w:szCs w:val="26"/>
          <w:lang w:val="en-GB"/>
        </w:rPr>
      </w:pPr>
      <w:r>
        <w:rPr>
          <w:rFonts w:ascii="Times New Roman" w:hAnsi="Times New Roman" w:cs="Times New Roman"/>
          <w:sz w:val="26"/>
          <w:szCs w:val="26"/>
          <w:lang w:val="en-GB"/>
        </w:rPr>
        <w:tab/>
        <w:t>- Những thông tin nêu trong báo giá là trung thực.</w:t>
      </w:r>
    </w:p>
    <w:p w:rsidR="003E0BC1" w:rsidRPr="00ED0009" w:rsidRDefault="003E0BC1" w:rsidP="003E0BC1">
      <w:pPr>
        <w:spacing w:after="0"/>
        <w:ind w:left="4320"/>
        <w:rPr>
          <w:rFonts w:ascii="Times New Roman" w:hAnsi="Times New Roman" w:cs="Times New Roman"/>
          <w:i/>
          <w:sz w:val="26"/>
          <w:szCs w:val="26"/>
          <w:lang w:val="en-GB"/>
        </w:rPr>
      </w:pP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r>
      <w:r>
        <w:rPr>
          <w:rFonts w:ascii="Times New Roman" w:hAnsi="Times New Roman" w:cs="Times New Roman"/>
          <w:sz w:val="26"/>
          <w:szCs w:val="26"/>
          <w:lang w:val="en-GB"/>
        </w:rPr>
        <w:tab/>
        <w:t xml:space="preserve">                                                        </w:t>
      </w:r>
      <w:r w:rsidRPr="00ED0009">
        <w:rPr>
          <w:rFonts w:ascii="Times New Roman" w:hAnsi="Times New Roman" w:cs="Times New Roman"/>
          <w:i/>
          <w:sz w:val="26"/>
          <w:szCs w:val="26"/>
          <w:lang w:val="en-GB"/>
        </w:rPr>
        <w:t>………….., ngày …. tháng ….. năm</w:t>
      </w:r>
    </w:p>
    <w:p w:rsidR="003E0BC1" w:rsidRPr="00ED0009" w:rsidRDefault="003E0BC1" w:rsidP="003E0BC1">
      <w:pPr>
        <w:spacing w:after="0"/>
        <w:ind w:firstLine="567"/>
        <w:rPr>
          <w:rFonts w:ascii="Times New Roman" w:hAnsi="Times New Roman" w:cs="Times New Roman"/>
          <w:b/>
          <w:sz w:val="26"/>
          <w:szCs w:val="26"/>
          <w:lang w:val="en-GB"/>
        </w:rPr>
      </w:pPr>
      <w:r>
        <w:rPr>
          <w:rFonts w:ascii="Times New Roman" w:hAnsi="Times New Roman" w:cs="Times New Roman"/>
          <w:sz w:val="26"/>
          <w:szCs w:val="26"/>
          <w:lang w:val="en-GB"/>
        </w:rPr>
        <w:t xml:space="preserve">                                                        </w:t>
      </w:r>
      <w:r>
        <w:rPr>
          <w:rFonts w:ascii="Times New Roman" w:hAnsi="Times New Roman" w:cs="Times New Roman"/>
          <w:b/>
          <w:sz w:val="26"/>
          <w:szCs w:val="26"/>
          <w:lang w:val="en-GB"/>
        </w:rPr>
        <w:t>Đại diện hợp pháp của nhà cung cấp</w:t>
      </w:r>
    </w:p>
    <w:p w:rsidR="003E0BC1" w:rsidRDefault="003E0BC1" w:rsidP="003E0BC1">
      <w:pPr>
        <w:ind w:left="1" w:firstLine="1133"/>
        <w:rPr>
          <w:rFonts w:ascii="Times New Roman" w:hAnsi="Times New Roman" w:cs="Times New Roman"/>
          <w:sz w:val="26"/>
          <w:szCs w:val="26"/>
          <w:lang w:val="en-GB"/>
        </w:rPr>
      </w:pPr>
    </w:p>
    <w:p w:rsidR="003E0BC1" w:rsidRPr="00637D8A" w:rsidRDefault="003E0BC1" w:rsidP="003E0BC1">
      <w:pPr>
        <w:ind w:left="1" w:firstLine="1133"/>
        <w:rPr>
          <w:rFonts w:ascii="Times New Roman" w:hAnsi="Times New Roman" w:cs="Times New Roman"/>
          <w:sz w:val="26"/>
          <w:szCs w:val="26"/>
          <w:lang w:val="en-GB"/>
        </w:rPr>
      </w:pPr>
    </w:p>
    <w:p w:rsidR="00B16F4F" w:rsidRDefault="00B16F4F"/>
    <w:sectPr w:rsidR="00B16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BC1"/>
    <w:rsid w:val="003B65C3"/>
    <w:rsid w:val="003E0BC1"/>
    <w:rsid w:val="00B16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6CC0"/>
  <w15:chartTrackingRefBased/>
  <w15:docId w15:val="{D50DB589-7953-45D5-88ED-2FD4A227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B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TPTC</dc:creator>
  <cp:keywords/>
  <dc:description/>
  <cp:lastModifiedBy>TPTC</cp:lastModifiedBy>
  <cp:revision>2</cp:revision>
  <dcterms:created xsi:type="dcterms:W3CDTF">2024-02-20T08:37:00Z</dcterms:created>
  <dcterms:modified xsi:type="dcterms:W3CDTF">2024-02-20T09:24:00Z</dcterms:modified>
</cp:coreProperties>
</file>